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-21</w:t>
      </w:r>
      <w:r w:rsidR="00F21B71">
        <w:rPr>
          <w:rFonts w:eastAsiaTheme="minorEastAsia" w:cs="Arial"/>
          <w:bCs/>
          <w:noProof w:val="0"/>
          <w:sz w:val="22"/>
          <w:szCs w:val="22"/>
          <w:lang w:eastAsia="zh-CN"/>
        </w:rPr>
        <w:t>13973</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476255" w:rsidRPr="006B21ED">
        <w:rPr>
          <w:rFonts w:eastAsiaTheme="minorEastAsia" w:cs="Arial"/>
          <w:bCs/>
          <w:noProof w:val="0"/>
          <w:sz w:val="22"/>
          <w:szCs w:val="22"/>
          <w:lang w:eastAsia="zh-CN"/>
        </w:rPr>
        <w:t>August 16</w:t>
      </w:r>
      <w:r w:rsidR="00476255" w:rsidRPr="006B21ED">
        <w:rPr>
          <w:rFonts w:eastAsiaTheme="minorEastAsia" w:cs="Arial"/>
          <w:bCs/>
          <w:noProof w:val="0"/>
          <w:sz w:val="22"/>
          <w:szCs w:val="22"/>
          <w:vertAlign w:val="superscript"/>
          <w:lang w:eastAsia="zh-CN"/>
        </w:rPr>
        <w:t>th</w:t>
      </w:r>
      <w:r w:rsidR="00476255" w:rsidRPr="006B21ED">
        <w:rPr>
          <w:rFonts w:eastAsiaTheme="minorEastAsia" w:cs="Arial"/>
          <w:bCs/>
          <w:noProof w:val="0"/>
          <w:sz w:val="22"/>
          <w:szCs w:val="22"/>
          <w:lang w:eastAsia="zh-CN"/>
        </w:rPr>
        <w:t>-27</w:t>
      </w:r>
      <w:r w:rsidR="00476255" w:rsidRPr="006B21ED">
        <w:rPr>
          <w:rFonts w:eastAsiaTheme="minorEastAsia" w:cs="Arial"/>
          <w:bCs/>
          <w:noProof w:val="0"/>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.20.</w:t>
      </w:r>
      <w:r w:rsidR="00947DE2">
        <w:rPr>
          <w:rFonts w:eastAsiaTheme="minorEastAsia" w:cs="Arial"/>
          <w:bCs/>
          <w:noProof w:val="0"/>
          <w:sz w:val="22"/>
          <w:szCs w:val="22"/>
          <w:lang w:eastAsia="zh-CN"/>
        </w:rPr>
        <w:t>2</w:t>
      </w:r>
      <w:r w:rsidR="00476255" w:rsidRPr="006B21ED">
        <w:rPr>
          <w:rFonts w:eastAsiaTheme="minorEastAsia" w:cs="Arial"/>
          <w:bCs/>
          <w:noProof w:val="0"/>
          <w:sz w:val="22"/>
          <w:szCs w:val="22"/>
          <w:lang w:eastAsia="zh-CN"/>
        </w:rPr>
        <w:t>.</w:t>
      </w:r>
      <w:r w:rsidR="00947DE2">
        <w:rPr>
          <w:rFonts w:eastAsiaTheme="minorEastAsia" w:cs="Arial"/>
          <w:bCs/>
          <w:noProof w:val="0"/>
          <w:sz w:val="22"/>
          <w:szCs w:val="22"/>
          <w:lang w:eastAsia="zh-CN"/>
        </w:rPr>
        <w:t>5</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947DE2">
        <w:rPr>
          <w:rFonts w:eastAsiaTheme="minorEastAsia" w:cs="Arial"/>
          <w:bCs/>
          <w:noProof w:val="0"/>
          <w:sz w:val="22"/>
          <w:szCs w:val="22"/>
          <w:lang w:eastAsia="zh-CN"/>
        </w:rPr>
        <w:t>SUL for RedCap</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necessity of supplementary UL (SUL) </w:t>
      </w:r>
      <w:r w:rsidR="00B67301" w:rsidRPr="00D34B64">
        <w:rPr>
          <w:lang w:eastAsia="zh-CN"/>
        </w:rPr>
        <w:t xml:space="preserve">for reduced capability (RedCap) </w:t>
      </w:r>
      <w:r w:rsidR="001A5F81" w:rsidRPr="00D34B64">
        <w:rPr>
          <w:lang w:eastAsia="zh-CN"/>
        </w:rPr>
        <w:t>on the Rel-17</w:t>
      </w:r>
      <w:r w:rsidR="0078554A" w:rsidRPr="00D34B64">
        <w:rPr>
          <w:lang w:eastAsia="zh-CN"/>
        </w:rPr>
        <w:t>.</w:t>
      </w:r>
      <w:r w:rsidR="00B67301" w:rsidRPr="00D34B64">
        <w:rPr>
          <w:lang w:eastAsia="zh-CN"/>
        </w:rPr>
        <w:t xml:space="preserve"> </w:t>
      </w:r>
      <w:r w:rsidR="00246EEB">
        <w:rPr>
          <w:lang w:eastAsia="zh-CN"/>
        </w:rPr>
        <w:t xml:space="preserve">From the </w:t>
      </w:r>
      <w:r w:rsidR="00D32C5A">
        <w:rPr>
          <w:lang w:eastAsia="zh-CN"/>
        </w:rPr>
        <w:t>WID has the following objective</w:t>
      </w:r>
      <w:r w:rsidR="00135EEB">
        <w:rPr>
          <w:lang w:eastAsia="zh-CN"/>
        </w:rPr>
        <w:t xml:space="preserve"> </w:t>
      </w:r>
      <w:r w:rsidR="00135EEB">
        <w:rPr>
          <w:lang w:eastAsia="zh-CN"/>
        </w:rPr>
        <w:fldChar w:fldCharType="begin"/>
      </w:r>
      <w:r w:rsidR="00135EEB">
        <w:rPr>
          <w:lang w:eastAsia="zh-CN"/>
        </w:rPr>
        <w:instrText xml:space="preserve"> REF _Ref71639227 \r \h </w:instrText>
      </w:r>
      <w:r w:rsidR="00135EEB">
        <w:rPr>
          <w:lang w:eastAsia="zh-CN"/>
        </w:rPr>
      </w:r>
      <w:r w:rsidR="00135EEB">
        <w:rPr>
          <w:lang w:eastAsia="zh-CN"/>
        </w:rPr>
        <w:fldChar w:fldCharType="separate"/>
      </w:r>
      <w:r w:rsidR="00520B87">
        <w:rPr>
          <w:lang w:eastAsia="zh-CN"/>
        </w:rPr>
        <w:t>[1]</w:t>
      </w:r>
      <w:r w:rsidR="00135EEB">
        <w:rPr>
          <w:lang w:eastAsia="zh-CN"/>
        </w:rPr>
        <w:fldChar w:fldCharType="end"/>
      </w:r>
      <w:r w:rsidR="00B67301" w:rsidRPr="00D34B64">
        <w:rPr>
          <w:lang w:eastAsia="zh-CN"/>
        </w:rPr>
        <w:t xml:space="preserve">: </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D32C5A" w:rsidRPr="00D32C5A" w:rsidRDefault="00D32C5A" w:rsidP="00D32C5A">
            <w:pPr>
              <w:pStyle w:val="B1"/>
              <w:numPr>
                <w:ilvl w:val="0"/>
                <w:numId w:val="16"/>
              </w:numPr>
              <w:overflowPunct w:val="0"/>
              <w:autoSpaceDE w:val="0"/>
              <w:autoSpaceDN w:val="0"/>
              <w:adjustRightInd w:val="0"/>
              <w:spacing w:after="180" w:line="240" w:lineRule="auto"/>
              <w:jc w:val="both"/>
              <w:textAlignment w:val="baseline"/>
              <w:rPr>
                <w:sz w:val="22"/>
                <w:szCs w:val="22"/>
                <w:lang w:eastAsia="zh-CN"/>
              </w:rPr>
            </w:pPr>
            <w:r w:rsidRPr="00D32C5A">
              <w:rPr>
                <w:sz w:val="22"/>
                <w:szCs w:val="22"/>
                <w:lang w:eastAsia="zh-CN"/>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B67301" w:rsidRPr="00D32C5A" w:rsidRDefault="00D32C5A" w:rsidP="00D32C5A">
            <w:pPr>
              <w:pStyle w:val="B1"/>
              <w:numPr>
                <w:ilvl w:val="1"/>
                <w:numId w:val="16"/>
              </w:numPr>
              <w:overflowPunct w:val="0"/>
              <w:autoSpaceDE w:val="0"/>
              <w:autoSpaceDN w:val="0"/>
              <w:adjustRightInd w:val="0"/>
              <w:spacing w:after="180" w:line="240" w:lineRule="auto"/>
              <w:jc w:val="both"/>
              <w:textAlignment w:val="baseline"/>
              <w:rPr>
                <w:sz w:val="22"/>
                <w:szCs w:val="22"/>
                <w:lang w:eastAsia="zh-CN"/>
              </w:rPr>
            </w:pPr>
            <w:r w:rsidRPr="00D32C5A">
              <w:rPr>
                <w:sz w:val="22"/>
                <w:szCs w:val="22"/>
                <w:lang w:eastAsia="zh-CN"/>
              </w:rPr>
              <w:t>The existing UE capability framework is used; changes to capability signalling are specified only if necessary.</w:t>
            </w:r>
          </w:p>
        </w:tc>
      </w:tr>
    </w:tbl>
    <w:p w:rsidR="00774F7E" w:rsidRDefault="00774F7E" w:rsidP="005809D5">
      <w:pPr>
        <w:pStyle w:val="Heading1"/>
        <w:numPr>
          <w:ilvl w:val="0"/>
          <w:numId w:val="1"/>
        </w:numPr>
        <w:jc w:val="both"/>
        <w:rPr>
          <w:rFonts w:ascii="Arial" w:hAnsi="Arial" w:cs="Arial"/>
        </w:rPr>
      </w:pPr>
      <w:r>
        <w:rPr>
          <w:rFonts w:ascii="Arial" w:hAnsi="Arial" w:cs="Arial"/>
        </w:rPr>
        <w:t xml:space="preserve">Discussion </w:t>
      </w:r>
    </w:p>
    <w:p w:rsidR="006E1C63" w:rsidRDefault="00246EEB" w:rsidP="00246EEB">
      <w:pPr>
        <w:jc w:val="both"/>
      </w:pPr>
      <w:r>
        <w:t>The</w:t>
      </w:r>
      <w:r w:rsidR="003E0831">
        <w:t xml:space="preserve"> work direction of </w:t>
      </w:r>
      <w:r w:rsidR="003E0831" w:rsidRPr="00914E01">
        <w:rPr>
          <w:color w:val="000000" w:themeColor="text1"/>
        </w:rPr>
        <w:t xml:space="preserve">RedCap is to reduce the 5G NR device </w:t>
      </w:r>
      <w:r w:rsidR="00F06A21" w:rsidRPr="00914E01">
        <w:rPr>
          <w:color w:val="000000" w:themeColor="text1"/>
        </w:rPr>
        <w:t xml:space="preserve">complexity, which results in </w:t>
      </w:r>
      <w:r w:rsidR="003E0831" w:rsidRPr="00914E01">
        <w:rPr>
          <w:color w:val="000000" w:themeColor="text1"/>
        </w:rPr>
        <w:t>a cheaper device</w:t>
      </w:r>
      <w:r w:rsidR="00DD4FB3" w:rsidRPr="00914E01">
        <w:rPr>
          <w:color w:val="000000" w:themeColor="text1"/>
        </w:rPr>
        <w:t>.</w:t>
      </w:r>
      <w:r w:rsidR="003E0831" w:rsidRPr="00914E01">
        <w:rPr>
          <w:color w:val="000000" w:themeColor="text1"/>
        </w:rPr>
        <w:t xml:space="preserve"> However, </w:t>
      </w:r>
      <w:r w:rsidR="00B710D7" w:rsidRPr="00914E01">
        <w:rPr>
          <w:color w:val="000000" w:themeColor="text1"/>
        </w:rPr>
        <w:t xml:space="preserve">if SUL is not supported, the UL coverage would be reduced by propagation nature in higher frequency range </w:t>
      </w:r>
      <w:r w:rsidR="003E0831" w:rsidRPr="00914E01">
        <w:rPr>
          <w:color w:val="000000" w:themeColor="text1"/>
        </w:rPr>
        <w:t xml:space="preserve">and lower data rate compared to existing 5G NR </w:t>
      </w:r>
      <w:r w:rsidR="00F06A21" w:rsidRPr="00914E01">
        <w:rPr>
          <w:color w:val="000000" w:themeColor="text1"/>
        </w:rPr>
        <w:t>devices</w:t>
      </w:r>
      <w:r w:rsidR="003E0831" w:rsidRPr="00914E01">
        <w:rPr>
          <w:color w:val="000000" w:themeColor="text1"/>
        </w:rPr>
        <w:t xml:space="preserve">. Now, the data rate may not be the bottleneck for RedCap because </w:t>
      </w:r>
      <w:r w:rsidR="003E0831">
        <w:t xml:space="preserve">the data rate needed for RedCap use cases are not very high compared to existing 5G NR use cases. However, reducing the coverage may affect the applicability of the specified RedCap use cases, such as wearable devices. To overcome this issue, SUL can be a suitable solution to enhance </w:t>
      </w:r>
      <w:r w:rsidR="00611CF0">
        <w:t xml:space="preserve">the coverage in RedCap UEs. In </w:t>
      </w:r>
      <w:r w:rsidR="00611CF0">
        <w:fldChar w:fldCharType="begin"/>
      </w:r>
      <w:r w:rsidR="00611CF0">
        <w:instrText xml:space="preserve"> REF _Ref78982761 \r \h </w:instrText>
      </w:r>
      <w:r w:rsidR="00611CF0">
        <w:fldChar w:fldCharType="separate"/>
      </w:r>
      <w:r w:rsidR="00520B87">
        <w:t>[2]</w:t>
      </w:r>
      <w:r w:rsidR="00611CF0">
        <w:fldChar w:fldCharType="end"/>
      </w:r>
      <w:r w:rsidR="003E0831">
        <w:t>, it is shown that coverage gain can be enhanced by approximately 10 - 13 dB, while the maximum range can be increased by 80% - 120%, which are substantial enhancement</w:t>
      </w:r>
      <w:r w:rsidR="00F06A21">
        <w:t>s</w:t>
      </w:r>
      <w:r w:rsidR="003E0831">
        <w:t>. Furthermore, given that the SUL is an optional feature in the normal 5G NR, hence the SUL shall be supported as an optional feature in RedCap UEs too</w:t>
      </w:r>
      <w:r w:rsidR="00F06A21">
        <w:t xml:space="preserve">, hence including such a useful feature can allow different RedCap design to support different use cases. In summary, </w:t>
      </w:r>
      <w:r w:rsidR="00EF0BCA">
        <w:t xml:space="preserve">do </w:t>
      </w:r>
      <w:r w:rsidR="003E0831">
        <w:t>not preclud</w:t>
      </w:r>
      <w:r w:rsidR="00EF0BCA">
        <w:t>e</w:t>
      </w:r>
      <w:r w:rsidR="003E0831">
        <w:t xml:space="preserve"> SUL from RedCap UEs due to its potential coverage benefits.</w:t>
      </w:r>
      <w:r w:rsidR="001B1E58">
        <w:t xml:space="preserve"> </w:t>
      </w:r>
    </w:p>
    <w:p w:rsidR="00E24B04" w:rsidRPr="00E24B04" w:rsidRDefault="00E24B04" w:rsidP="00246EEB">
      <w:pPr>
        <w:pStyle w:val="ListParagraph"/>
        <w:numPr>
          <w:ilvl w:val="0"/>
          <w:numId w:val="18"/>
        </w:numPr>
        <w:spacing w:after="180" w:line="240" w:lineRule="auto"/>
        <w:contextualSpacing w:val="0"/>
        <w:jc w:val="both"/>
        <w:rPr>
          <w:rFonts w:cstheme="minorHAnsi"/>
          <w:b/>
          <w:lang w:eastAsia="ko-KR"/>
        </w:rPr>
      </w:pPr>
      <w:bookmarkStart w:id="0" w:name="_Ref78985672"/>
      <w:r w:rsidRPr="00E24B04">
        <w:rPr>
          <w:rFonts w:cstheme="minorHAnsi"/>
          <w:b/>
          <w:lang w:eastAsia="ko-KR"/>
        </w:rPr>
        <w:t>Including SUL in RedCap UEs can be useful to enhance the coverage</w:t>
      </w:r>
      <w:r w:rsidRPr="00D34B64">
        <w:rPr>
          <w:rFonts w:cstheme="minorHAnsi"/>
          <w:b/>
          <w:lang w:eastAsia="ko-KR"/>
        </w:rPr>
        <w:t>.</w:t>
      </w:r>
      <w:bookmarkEnd w:id="0"/>
    </w:p>
    <w:p w:rsidR="00E24B04" w:rsidRDefault="001B1E58" w:rsidP="001B1E58">
      <w:pPr>
        <w:spacing w:after="180" w:line="240" w:lineRule="auto"/>
        <w:jc w:val="both"/>
      </w:pPr>
      <w:r w:rsidRPr="001B1E58">
        <w:t>Furthermore,</w:t>
      </w:r>
      <w:r>
        <w:t xml:space="preserve"> in Table 5.2C-1:Operating band combination for SUL in FR1 in</w:t>
      </w:r>
      <w:r w:rsidR="000A440D">
        <w:t xml:space="preserve"> </w:t>
      </w:r>
      <w:r w:rsidR="000A440D">
        <w:fldChar w:fldCharType="begin"/>
      </w:r>
      <w:r w:rsidR="000A440D">
        <w:instrText xml:space="preserve"> REF _Ref79053339 \r \h </w:instrText>
      </w:r>
      <w:r w:rsidR="000A440D">
        <w:fldChar w:fldCharType="separate"/>
      </w:r>
      <w:r w:rsidR="00520B87">
        <w:t>[3]</w:t>
      </w:r>
      <w:r w:rsidR="000A440D">
        <w:fldChar w:fldCharType="end"/>
      </w:r>
      <w:r>
        <w:t>, there is note 1: “</w:t>
      </w:r>
      <w:r>
        <w:rPr>
          <w:lang w:val="en-US"/>
        </w:rPr>
        <w:t>If a UE is configured with both NR UL and NR S</w:t>
      </w:r>
      <w:bookmarkStart w:id="1" w:name="_GoBack"/>
      <w:bookmarkEnd w:id="1"/>
      <w:r>
        <w:rPr>
          <w:lang w:val="en-US"/>
        </w:rPr>
        <w:t xml:space="preserve">UL carriers in a cell, the switching time between NR UL carrier and NR SUL carrier is </w:t>
      </w:r>
      <w:r w:rsidRPr="00F06A21">
        <w:rPr>
          <w:color w:val="FF0000"/>
          <w:lang w:val="en-US"/>
        </w:rPr>
        <w:t>0</w:t>
      </w:r>
      <w:r w:rsidRPr="001B1E58">
        <w:rPr>
          <w:lang w:val="en-US"/>
        </w:rPr>
        <w:t xml:space="preserve"> us</w:t>
      </w:r>
      <w:r>
        <w:t xml:space="preserve">”. The switching time </w:t>
      </w:r>
      <w:r w:rsidRPr="00914E01">
        <w:rPr>
          <w:color w:val="000000" w:themeColor="text1"/>
        </w:rPr>
        <w:t xml:space="preserve">could be based on having at least two transmitting </w:t>
      </w:r>
      <w:r w:rsidR="00B710D7" w:rsidRPr="00914E01">
        <w:rPr>
          <w:color w:val="000000" w:themeColor="text1"/>
        </w:rPr>
        <w:t>chain (LO, PA, ET modulators…etc)</w:t>
      </w:r>
      <w:r w:rsidRPr="00914E01">
        <w:rPr>
          <w:color w:val="000000" w:themeColor="text1"/>
        </w:rPr>
        <w:t xml:space="preserve">. However, in RedCap UEs a single transmitter is supported and hence this may require a switching time. Therefore, the switching time </w:t>
      </w:r>
      <w:r>
        <w:t>requirement shall be re-visited to accommodate different UE implementation.</w:t>
      </w:r>
    </w:p>
    <w:p w:rsidR="001B1E58" w:rsidRPr="00E24B04" w:rsidRDefault="00E24B04" w:rsidP="001B1E58">
      <w:pPr>
        <w:pStyle w:val="ListParagraph"/>
        <w:numPr>
          <w:ilvl w:val="0"/>
          <w:numId w:val="18"/>
        </w:numPr>
        <w:spacing w:after="180" w:line="240" w:lineRule="auto"/>
        <w:contextualSpacing w:val="0"/>
        <w:jc w:val="both"/>
        <w:rPr>
          <w:rFonts w:cstheme="minorHAnsi"/>
          <w:b/>
          <w:lang w:eastAsia="ko-KR"/>
        </w:rPr>
      </w:pPr>
      <w:bookmarkStart w:id="2" w:name="_Ref78985713"/>
      <w:r>
        <w:rPr>
          <w:rFonts w:cstheme="minorHAnsi"/>
          <w:b/>
          <w:lang w:eastAsia="ko-KR"/>
        </w:rPr>
        <w:t>The defined switching time between normal UL and SUL may not be applicable to RedCap UEs due to the single transmitting local oscillator</w:t>
      </w:r>
      <w:r w:rsidRPr="00D34B64">
        <w:rPr>
          <w:rFonts w:cstheme="minorHAnsi"/>
          <w:b/>
          <w:lang w:eastAsia="ko-KR"/>
        </w:rPr>
        <w:t>.</w:t>
      </w:r>
      <w:bookmarkEnd w:id="2"/>
      <w:r w:rsidR="001B1E58">
        <w:t xml:space="preserve"> </w:t>
      </w:r>
    </w:p>
    <w:p w:rsidR="00DD4FB3" w:rsidRPr="001B1E58" w:rsidRDefault="00DD4FB3" w:rsidP="001B1E58">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3" w:name="_Ref78920219"/>
      <w:r>
        <w:rPr>
          <w:rFonts w:cstheme="minorHAnsi"/>
          <w:b/>
          <w:lang w:eastAsia="ko-KR"/>
        </w:rPr>
        <w:t>Support</w:t>
      </w:r>
      <w:r w:rsidR="001B1E58">
        <w:rPr>
          <w:rFonts w:cstheme="minorHAnsi"/>
          <w:b/>
          <w:lang w:eastAsia="ko-KR"/>
        </w:rPr>
        <w:t xml:space="preserve"> including</w:t>
      </w:r>
      <w:r>
        <w:rPr>
          <w:rFonts w:cstheme="minorHAnsi"/>
          <w:b/>
          <w:lang w:eastAsia="ko-KR"/>
        </w:rPr>
        <w:t xml:space="preserve"> </w:t>
      </w:r>
      <w:r w:rsidR="003E0831">
        <w:rPr>
          <w:rFonts w:cstheme="minorHAnsi"/>
          <w:b/>
          <w:lang w:eastAsia="ko-KR"/>
        </w:rPr>
        <w:t>SUL as an</w:t>
      </w:r>
      <w:r w:rsidR="0062188F">
        <w:rPr>
          <w:rFonts w:cstheme="minorHAnsi"/>
          <w:b/>
          <w:lang w:eastAsia="ko-KR"/>
        </w:rPr>
        <w:t xml:space="preserve"> optional feature for RedCap UEs</w:t>
      </w:r>
      <w:r w:rsidR="0023397D">
        <w:rPr>
          <w:rFonts w:cstheme="minorHAnsi"/>
          <w:b/>
          <w:lang w:eastAsia="ko-KR"/>
        </w:rPr>
        <w:t xml:space="preserve"> with re-visiting the switching time</w:t>
      </w:r>
      <w:r>
        <w:rPr>
          <w:rFonts w:cstheme="minorHAnsi"/>
          <w:b/>
          <w:lang w:eastAsia="ko-KR"/>
        </w:rPr>
        <w:t>.</w:t>
      </w:r>
      <w:bookmarkEnd w:id="3"/>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D34B64">
      <w:r>
        <w:t xml:space="preserve">In this </w:t>
      </w:r>
      <w:r w:rsidR="00135EEB">
        <w:t xml:space="preserve">contribution, discussion on the </w:t>
      </w:r>
      <w:r w:rsidR="009F06A4">
        <w:t>benefits of SUL in RedCap UEs</w:t>
      </w:r>
      <w:r w:rsidR="00135EEB">
        <w:t xml:space="preserve"> are provided and we have the following proposals: </w:t>
      </w:r>
    </w:p>
    <w:p w:rsidR="004E2FF5" w:rsidRDefault="004E2FF5" w:rsidP="00D34B64">
      <w:r w:rsidRPr="004E2FF5">
        <w:rPr>
          <w:b/>
        </w:rPr>
        <w:fldChar w:fldCharType="begin"/>
      </w:r>
      <w:r w:rsidRPr="004E2FF5">
        <w:rPr>
          <w:b/>
        </w:rPr>
        <w:instrText xml:space="preserve"> REF _Ref78985672 \r \h  \* MERGEFORMAT </w:instrText>
      </w:r>
      <w:r w:rsidRPr="004E2FF5">
        <w:rPr>
          <w:b/>
        </w:rPr>
      </w:r>
      <w:r w:rsidRPr="004E2FF5">
        <w:rPr>
          <w:b/>
        </w:rPr>
        <w:fldChar w:fldCharType="separate"/>
      </w:r>
      <w:r w:rsidR="00520B87">
        <w:rPr>
          <w:b/>
        </w:rPr>
        <w:t>Observation 1:</w:t>
      </w:r>
      <w:r w:rsidRPr="004E2FF5">
        <w:rPr>
          <w:b/>
        </w:rPr>
        <w:fldChar w:fldCharType="end"/>
      </w:r>
      <w:r w:rsidRPr="004E2FF5">
        <w:rPr>
          <w:b/>
        </w:rPr>
        <w:t xml:space="preserve"> </w:t>
      </w:r>
      <w:r>
        <w:fldChar w:fldCharType="begin"/>
      </w:r>
      <w:r>
        <w:instrText xml:space="preserve"> REF _Ref78985672 \h </w:instrText>
      </w:r>
      <w:r>
        <w:fldChar w:fldCharType="separate"/>
      </w:r>
      <w:r w:rsidR="00520B87" w:rsidRPr="00E24B04">
        <w:rPr>
          <w:rFonts w:cstheme="minorHAnsi"/>
          <w:b/>
          <w:lang w:eastAsia="ko-KR"/>
        </w:rPr>
        <w:t>Including SUL in RedCap UEs can be useful to enhance the coverage</w:t>
      </w:r>
      <w:r w:rsidR="00520B87" w:rsidRPr="00D34B64">
        <w:rPr>
          <w:rFonts w:cstheme="minorHAnsi"/>
          <w:b/>
          <w:lang w:eastAsia="ko-KR"/>
        </w:rPr>
        <w:t>.</w:t>
      </w:r>
      <w:r>
        <w:fldChar w:fldCharType="end"/>
      </w:r>
    </w:p>
    <w:p w:rsidR="004E2FF5" w:rsidRDefault="004E2FF5" w:rsidP="00D34B64">
      <w:r w:rsidRPr="004E2FF5">
        <w:rPr>
          <w:b/>
        </w:rPr>
        <w:lastRenderedPageBreak/>
        <w:fldChar w:fldCharType="begin"/>
      </w:r>
      <w:r w:rsidRPr="004E2FF5">
        <w:rPr>
          <w:b/>
        </w:rPr>
        <w:instrText xml:space="preserve"> REF _Ref78985713 \r \h </w:instrText>
      </w:r>
      <w:r>
        <w:rPr>
          <w:b/>
        </w:rPr>
        <w:instrText xml:space="preserve"> \* MERGEFORMAT </w:instrText>
      </w:r>
      <w:r w:rsidRPr="004E2FF5">
        <w:rPr>
          <w:b/>
        </w:rPr>
      </w:r>
      <w:r w:rsidRPr="004E2FF5">
        <w:rPr>
          <w:b/>
        </w:rPr>
        <w:fldChar w:fldCharType="separate"/>
      </w:r>
      <w:r w:rsidR="00520B87">
        <w:rPr>
          <w:b/>
        </w:rPr>
        <w:t>Observation 2:</w:t>
      </w:r>
      <w:r w:rsidRPr="004E2FF5">
        <w:rPr>
          <w:b/>
        </w:rPr>
        <w:fldChar w:fldCharType="end"/>
      </w:r>
      <w:r w:rsidRPr="004E2FF5">
        <w:rPr>
          <w:b/>
        </w:rPr>
        <w:t xml:space="preserve"> </w:t>
      </w:r>
      <w:r>
        <w:fldChar w:fldCharType="begin"/>
      </w:r>
      <w:r>
        <w:instrText xml:space="preserve"> REF _Ref78985713 \h </w:instrText>
      </w:r>
      <w:r>
        <w:fldChar w:fldCharType="separate"/>
      </w:r>
      <w:r w:rsidR="00520B87">
        <w:rPr>
          <w:rFonts w:cstheme="minorHAnsi"/>
          <w:b/>
          <w:lang w:eastAsia="ko-KR"/>
        </w:rPr>
        <w:t>The defined switching time between normal UL and SUL may not be applicable to RedCap UEs due to the single transmitting local oscillator</w:t>
      </w:r>
      <w:r w:rsidR="00520B87" w:rsidRPr="00D34B64">
        <w:rPr>
          <w:rFonts w:cstheme="minorHAnsi"/>
          <w:b/>
          <w:lang w:eastAsia="ko-KR"/>
        </w:rPr>
        <w:t>.</w:t>
      </w:r>
      <w:r>
        <w:fldChar w:fldCharType="end"/>
      </w:r>
    </w:p>
    <w:p w:rsidR="00F02FC3" w:rsidRDefault="00135EEB" w:rsidP="0023397D">
      <w:r w:rsidRPr="00135EEB">
        <w:rPr>
          <w:b/>
        </w:rPr>
        <w:fldChar w:fldCharType="begin"/>
      </w:r>
      <w:r w:rsidRPr="00135EEB">
        <w:rPr>
          <w:b/>
        </w:rPr>
        <w:instrText xml:space="preserve"> REF _Ref78920219 \w </w:instrText>
      </w:r>
      <w:r>
        <w:rPr>
          <w:b/>
        </w:rPr>
        <w:instrText xml:space="preserve"> \* MERGEFORMAT </w:instrText>
      </w:r>
      <w:r w:rsidRPr="00135EEB">
        <w:rPr>
          <w:b/>
        </w:rPr>
        <w:fldChar w:fldCharType="separate"/>
      </w:r>
      <w:r w:rsidR="00520B87">
        <w:rPr>
          <w:b/>
        </w:rPr>
        <w:t>Proposal 1:</w:t>
      </w:r>
      <w:r w:rsidRPr="00135EEB">
        <w:rPr>
          <w:b/>
        </w:rPr>
        <w:fldChar w:fldCharType="end"/>
      </w:r>
      <w:r>
        <w:t xml:space="preserve"> </w:t>
      </w:r>
      <w:fldSimple w:instr=" REF _Ref78920219 ">
        <w:r w:rsidR="00520B87">
          <w:rPr>
            <w:rFonts w:cstheme="minorHAnsi"/>
            <w:b/>
            <w:lang w:eastAsia="ko-KR"/>
          </w:rPr>
          <w:t>Support including SUL as an optional feature for RedCap UEs with re-visiting the switching time.</w:t>
        </w:r>
      </w:fldSimple>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0270CF" w:rsidRPr="00E720A7" w:rsidRDefault="00135EEB" w:rsidP="00135EEB">
      <w:pPr>
        <w:pStyle w:val="ListParagraph"/>
        <w:numPr>
          <w:ilvl w:val="0"/>
          <w:numId w:val="15"/>
        </w:numPr>
        <w:jc w:val="both"/>
        <w:rPr>
          <w:rFonts w:cstheme="minorHAnsi"/>
          <w:color w:val="000000"/>
        </w:rPr>
      </w:pPr>
      <w:bookmarkStart w:id="4" w:name="_Ref71639227"/>
      <w:r>
        <w:rPr>
          <w:rFonts w:cstheme="minorHAnsi"/>
        </w:rPr>
        <w:t>R</w:t>
      </w:r>
      <w:bookmarkEnd w:id="4"/>
      <w:r w:rsidR="00D32C5A">
        <w:rPr>
          <w:rFonts w:cstheme="minorHAnsi"/>
        </w:rPr>
        <w:t>P</w:t>
      </w:r>
      <w:r w:rsidR="00D32C5A" w:rsidRPr="00D34B64">
        <w:rPr>
          <w:rFonts w:cstheme="minorHAnsi"/>
        </w:rPr>
        <w:t>-211574, “Revised WID on support of reduced capability NR devices</w:t>
      </w:r>
      <w:r w:rsidR="00D32C5A">
        <w:rPr>
          <w:rFonts w:cstheme="minorHAnsi"/>
        </w:rPr>
        <w:t>”.</w:t>
      </w:r>
    </w:p>
    <w:p w:rsidR="00E720A7" w:rsidRPr="00DF324C" w:rsidRDefault="00E720A7" w:rsidP="00E720A7">
      <w:pPr>
        <w:pStyle w:val="ListParagraph"/>
        <w:numPr>
          <w:ilvl w:val="0"/>
          <w:numId w:val="15"/>
        </w:numPr>
        <w:jc w:val="both"/>
        <w:rPr>
          <w:rFonts w:cstheme="minorHAnsi"/>
          <w:color w:val="000000"/>
        </w:rPr>
      </w:pPr>
      <w:bookmarkStart w:id="5" w:name="_Ref78982761"/>
      <w:r>
        <w:rPr>
          <w:rFonts w:cstheme="minorHAnsi"/>
        </w:rPr>
        <w:t>R1-2105535, “</w:t>
      </w:r>
      <w:r w:rsidRPr="00E720A7">
        <w:rPr>
          <w:rFonts w:cstheme="minorHAnsi"/>
        </w:rPr>
        <w:t>On RedCap UL transmission</w:t>
      </w:r>
      <w:r>
        <w:rPr>
          <w:rFonts w:cstheme="minorHAnsi"/>
        </w:rPr>
        <w:t xml:space="preserve">”, </w:t>
      </w:r>
      <w:r w:rsidRPr="00E720A7">
        <w:rPr>
          <w:rFonts w:cstheme="minorHAnsi"/>
        </w:rPr>
        <w:t>Huawei, HiSilicon</w:t>
      </w:r>
      <w:r w:rsidR="000A6EFA">
        <w:rPr>
          <w:rFonts w:cstheme="minorHAnsi"/>
        </w:rPr>
        <w:t>, May 2021</w:t>
      </w:r>
      <w:r>
        <w:rPr>
          <w:rFonts w:cstheme="minorHAnsi"/>
        </w:rPr>
        <w:t>.</w:t>
      </w:r>
      <w:bookmarkEnd w:id="5"/>
    </w:p>
    <w:p w:rsidR="00DF324C" w:rsidRPr="00DF324C" w:rsidRDefault="00DF324C" w:rsidP="006E663D">
      <w:pPr>
        <w:pStyle w:val="ListParagraph"/>
        <w:numPr>
          <w:ilvl w:val="0"/>
          <w:numId w:val="15"/>
        </w:numPr>
        <w:jc w:val="both"/>
        <w:rPr>
          <w:rFonts w:cstheme="minorHAnsi"/>
          <w:color w:val="000000"/>
        </w:rPr>
      </w:pPr>
      <w:bookmarkStart w:id="6" w:name="_Ref79053339"/>
      <w:r w:rsidRPr="00DF324C">
        <w:rPr>
          <w:rFonts w:cstheme="minorHAnsi"/>
        </w:rPr>
        <w:t>3GPP TS 38.101-1, “5G; NR; User Equipment (UE) radio transmission and reception;</w:t>
      </w:r>
      <w:r>
        <w:rPr>
          <w:rFonts w:cstheme="minorHAnsi"/>
        </w:rPr>
        <w:t xml:space="preserve"> </w:t>
      </w:r>
      <w:r w:rsidRPr="00DF324C">
        <w:rPr>
          <w:rFonts w:cstheme="minorHAnsi"/>
        </w:rPr>
        <w:t>Part 1: Range 1 Standalone”</w:t>
      </w:r>
      <w:r>
        <w:rPr>
          <w:rFonts w:cstheme="minorHAnsi"/>
        </w:rPr>
        <w:t>, V15.3.0, Release 15</w:t>
      </w:r>
      <w:r w:rsidRPr="00DF324C">
        <w:rPr>
          <w:rFonts w:cstheme="minorHAnsi"/>
        </w:rPr>
        <w:t>.</w:t>
      </w:r>
      <w:bookmarkEnd w:id="6"/>
    </w:p>
    <w:sectPr w:rsidR="00DF324C" w:rsidRPr="00DF324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14D" w:rsidRDefault="00F9114D">
      <w:r>
        <w:separator/>
      </w:r>
    </w:p>
  </w:endnote>
  <w:endnote w:type="continuationSeparator" w:id="0">
    <w:p w:rsidR="00F9114D" w:rsidRDefault="00F9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14D" w:rsidRDefault="00F9114D">
      <w:r>
        <w:separator/>
      </w:r>
    </w:p>
  </w:footnote>
  <w:footnote w:type="continuationSeparator" w:id="0">
    <w:p w:rsidR="00F9114D" w:rsidRDefault="00F91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
  </w:num>
  <w:num w:numId="4">
    <w:abstractNumId w:val="21"/>
  </w:num>
  <w:num w:numId="5">
    <w:abstractNumId w:val="4"/>
  </w:num>
  <w:num w:numId="6">
    <w:abstractNumId w:val="8"/>
  </w:num>
  <w:num w:numId="7">
    <w:abstractNumId w:val="5"/>
  </w:num>
  <w:num w:numId="8">
    <w:abstractNumId w:val="6"/>
  </w:num>
  <w:num w:numId="9">
    <w:abstractNumId w:val="9"/>
  </w:num>
  <w:num w:numId="10">
    <w:abstractNumId w:val="16"/>
  </w:num>
  <w:num w:numId="11">
    <w:abstractNumId w:val="18"/>
  </w:num>
  <w:num w:numId="12">
    <w:abstractNumId w:val="12"/>
  </w:num>
  <w:num w:numId="13">
    <w:abstractNumId w:val="13"/>
  </w:num>
  <w:num w:numId="14">
    <w:abstractNumId w:val="17"/>
  </w:num>
  <w:num w:numId="15">
    <w:abstractNumId w:val="15"/>
  </w:num>
  <w:num w:numId="16">
    <w:abstractNumId w:val="10"/>
  </w:num>
  <w:num w:numId="17">
    <w:abstractNumId w:val="14"/>
  </w:num>
  <w:num w:numId="18">
    <w:abstractNumId w:val="1"/>
  </w:num>
  <w:num w:numId="19">
    <w:abstractNumId w:val="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40D"/>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0B87"/>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C91"/>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3FDC"/>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01"/>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0650"/>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1FCD"/>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0D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24C"/>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B71"/>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B7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21B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B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22978-BB68-47FD-9E87-A5FA1BF6E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2021-08-06T13:29:00Z</dcterms:created>
  <dcterms:modified xsi:type="dcterms:W3CDTF">2021-08-06T13:30:00Z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